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КРАСНОЯРСКОГО КРАЯ</w:t>
      </w:r>
      <w:r/>
    </w:p>
    <w:p>
      <w:pPr>
        <w:pStyle w:val="606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b/>
        </w:rPr>
      </w:pPr>
      <w:r>
        <w:rPr>
          <w:b/>
          <w:sz w:val="44"/>
        </w:rPr>
        <w:t xml:space="preserve">ПОСТАНОВЛЕНИЕ</w:t>
      </w:r>
      <w:r/>
    </w:p>
    <w:p>
      <w:pPr>
        <w:jc w:val="center"/>
      </w:pPr>
      <w:r/>
      <w:r/>
    </w:p>
    <w:p>
      <w:pPr>
        <w:rPr>
          <w:szCs w:val="28"/>
        </w:rPr>
      </w:pPr>
      <w:r>
        <w:rPr>
          <w:szCs w:val="28"/>
        </w:rPr>
        <w:t xml:space="preserve">31</w:t>
      </w:r>
      <w:r>
        <w:rPr>
          <w:szCs w:val="28"/>
        </w:rPr>
        <w:t xml:space="preserve">.</w:t>
      </w:r>
      <w:r>
        <w:rPr>
          <w:szCs w:val="28"/>
        </w:rPr>
        <w:t xml:space="preserve">0</w:t>
      </w:r>
      <w:r>
        <w:rPr>
          <w:szCs w:val="28"/>
        </w:rPr>
        <w:t xml:space="preserve">5</w:t>
      </w:r>
      <w:r>
        <w:rPr>
          <w:szCs w:val="28"/>
        </w:rPr>
        <w:t xml:space="preserve">.</w:t>
      </w:r>
      <w:r>
        <w:rPr>
          <w:szCs w:val="28"/>
        </w:rPr>
        <w:t xml:space="preserve">20</w:t>
      </w:r>
      <w:r>
        <w:rPr>
          <w:szCs w:val="28"/>
        </w:rPr>
        <w:t xml:space="preserve">2</w:t>
      </w:r>
      <w:r>
        <w:rPr>
          <w:szCs w:val="28"/>
        </w:rPr>
        <w:t xml:space="preserve">3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</w:t>
      </w:r>
      <w:r>
        <w:rPr>
          <w:szCs w:val="28"/>
        </w:rPr>
        <w:t xml:space="preserve">г. Ужур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</w:t>
      </w:r>
      <w:r>
        <w:rPr>
          <w:szCs w:val="28"/>
        </w:rPr>
        <w:t xml:space="preserve">№  </w:t>
      </w:r>
      <w:r>
        <w:rPr>
          <w:szCs w:val="28"/>
        </w:rPr>
        <w:t xml:space="preserve">413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 адми</w:t>
      </w:r>
      <w:r>
        <w:rPr>
          <w:szCs w:val="28"/>
        </w:rPr>
        <w:t xml:space="preserve">нистрации Ужурского района от 21</w:t>
      </w:r>
      <w:r>
        <w:rPr>
          <w:szCs w:val="28"/>
        </w:rPr>
        <w:t xml:space="preserve">.</w:t>
      </w:r>
      <w:r>
        <w:rPr>
          <w:szCs w:val="28"/>
        </w:rPr>
        <w:t xml:space="preserve">0</w:t>
      </w:r>
      <w:r>
        <w:rPr>
          <w:szCs w:val="28"/>
        </w:rPr>
        <w:t xml:space="preserve">1</w:t>
      </w:r>
      <w:r>
        <w:rPr>
          <w:szCs w:val="28"/>
        </w:rPr>
        <w:t xml:space="preserve">.20</w:t>
      </w:r>
      <w:r>
        <w:rPr>
          <w:szCs w:val="28"/>
        </w:rPr>
        <w:t xml:space="preserve">22 № 63</w:t>
      </w:r>
      <w:r>
        <w:rPr>
          <w:szCs w:val="28"/>
        </w:rPr>
        <w:t xml:space="preserve"> «Об утверждении </w:t>
      </w:r>
      <w:r>
        <w:rPr>
          <w:szCs w:val="28"/>
        </w:rPr>
        <w:t xml:space="preserve">Положения об оплате труда работников муниципального казенного учреждения «Управление культуры, спорта и молодежной политики Ужурского района»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 xml:space="preserve">соответствии с Законом К</w:t>
      </w:r>
      <w:r>
        <w:rPr>
          <w:szCs w:val="28"/>
        </w:rPr>
        <w:t xml:space="preserve">расноярского края от 20</w:t>
      </w:r>
      <w:r>
        <w:rPr>
          <w:szCs w:val="28"/>
        </w:rPr>
        <w:t xml:space="preserve">.</w:t>
      </w:r>
      <w:r>
        <w:rPr>
          <w:szCs w:val="28"/>
        </w:rPr>
        <w:t xml:space="preserve">04.202</w:t>
      </w:r>
      <w:r>
        <w:rPr>
          <w:szCs w:val="28"/>
        </w:rPr>
        <w:t xml:space="preserve">3</w:t>
      </w:r>
      <w:r>
        <w:rPr>
          <w:szCs w:val="28"/>
        </w:rPr>
        <w:t xml:space="preserve"> № </w:t>
      </w:r>
      <w:r>
        <w:rPr>
          <w:szCs w:val="28"/>
        </w:rPr>
        <w:t xml:space="preserve">5</w:t>
      </w:r>
      <w:r>
        <w:rPr>
          <w:szCs w:val="28"/>
        </w:rPr>
        <w:t xml:space="preserve">-</w:t>
      </w:r>
      <w:r>
        <w:rPr>
          <w:szCs w:val="28"/>
        </w:rPr>
        <w:t xml:space="preserve">1744</w:t>
      </w:r>
      <w:r>
        <w:rPr>
          <w:szCs w:val="28"/>
        </w:rPr>
        <w:t xml:space="preserve"> «</w:t>
      </w:r>
      <w:r>
        <w:rPr>
          <w:szCs w:val="28"/>
        </w:rPr>
        <w:t xml:space="preserve">О внесении изменений в Закон края «</w:t>
      </w:r>
      <w:r>
        <w:rPr>
          <w:szCs w:val="28"/>
        </w:rPr>
        <w:t xml:space="preserve">О краевом бюджете на 202</w:t>
      </w:r>
      <w:r>
        <w:rPr>
          <w:szCs w:val="28"/>
        </w:rPr>
        <w:t xml:space="preserve">3</w:t>
      </w:r>
      <w:r>
        <w:rPr>
          <w:szCs w:val="28"/>
        </w:rPr>
        <w:t xml:space="preserve"> год и плановый период 202</w:t>
      </w:r>
      <w:r>
        <w:rPr>
          <w:szCs w:val="28"/>
        </w:rPr>
        <w:t xml:space="preserve">4</w:t>
      </w:r>
      <w:r>
        <w:rPr>
          <w:szCs w:val="28"/>
        </w:rPr>
        <w:t xml:space="preserve">-202</w:t>
      </w:r>
      <w:r>
        <w:rPr>
          <w:szCs w:val="28"/>
        </w:rPr>
        <w:t xml:space="preserve">5</w:t>
      </w:r>
      <w:r>
        <w:rPr>
          <w:szCs w:val="28"/>
        </w:rPr>
        <w:t xml:space="preserve"> годов»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решением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районного Совета депутатов от 18.09.2013 № 41-290р «Об утверждении Положения об оплате труда работников муниципальных учреждений», </w:t>
      </w:r>
      <w:r>
        <w:rPr>
          <w:szCs w:val="28"/>
        </w:rPr>
        <w:t xml:space="preserve">руководствуясь статьей 19 Устава Ужурского района,</w:t>
      </w:r>
      <w:r>
        <w:rPr>
          <w:szCs w:val="28"/>
        </w:rPr>
        <w:t xml:space="preserve">  ПОСТАНОВЛЯЮ</w:t>
      </w:r>
      <w:r>
        <w:rPr>
          <w:szCs w:val="28"/>
        </w:rPr>
        <w:t xml:space="preserve">: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1. Провести </w:t>
      </w:r>
      <w:r>
        <w:rPr>
          <w:szCs w:val="28"/>
        </w:rPr>
        <w:t xml:space="preserve">увеличение</w:t>
      </w:r>
      <w:r>
        <w:rPr>
          <w:szCs w:val="28"/>
        </w:rPr>
        <w:t xml:space="preserve"> размеров должн</w:t>
      </w:r>
      <w:r>
        <w:rPr>
          <w:szCs w:val="28"/>
        </w:rPr>
        <w:t xml:space="preserve">остных окладов с 01 </w:t>
      </w:r>
      <w:r>
        <w:rPr>
          <w:szCs w:val="28"/>
        </w:rPr>
        <w:t xml:space="preserve">июля 202</w:t>
      </w:r>
      <w:r>
        <w:rPr>
          <w:szCs w:val="28"/>
        </w:rPr>
        <w:t xml:space="preserve">3</w:t>
      </w:r>
      <w:r>
        <w:rPr>
          <w:szCs w:val="28"/>
        </w:rPr>
        <w:t xml:space="preserve"> года на </w:t>
      </w:r>
      <w:r>
        <w:rPr>
          <w:szCs w:val="28"/>
        </w:rPr>
        <w:t xml:space="preserve">6,3</w:t>
      </w:r>
      <w:r>
        <w:rPr>
          <w:szCs w:val="28"/>
        </w:rPr>
        <w:t xml:space="preserve"> процент</w:t>
      </w:r>
      <w:r>
        <w:rPr>
          <w:szCs w:val="28"/>
        </w:rPr>
        <w:t xml:space="preserve">ов</w:t>
      </w:r>
      <w:r>
        <w:rPr>
          <w:szCs w:val="28"/>
        </w:rPr>
        <w:t xml:space="preserve"> работникам</w:t>
      </w:r>
      <w:r>
        <w:rPr>
          <w:szCs w:val="28"/>
        </w:rPr>
        <w:t xml:space="preserve"> муниципального казенного учреждения  «Управление культуры, спорта и молодежной политики Ужурского района»</w:t>
      </w:r>
      <w:r>
        <w:rPr>
          <w:szCs w:val="28"/>
        </w:rPr>
        <w:t xml:space="preserve">.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Внести </w:t>
      </w:r>
      <w:r>
        <w:rPr>
          <w:szCs w:val="28"/>
        </w:rPr>
        <w:t xml:space="preserve">в</w:t>
      </w:r>
      <w:r>
        <w:rPr>
          <w:szCs w:val="28"/>
        </w:rPr>
        <w:t xml:space="preserve"> приложение к</w:t>
      </w:r>
      <w:r>
        <w:rPr>
          <w:szCs w:val="28"/>
        </w:rPr>
        <w:t xml:space="preserve"> постановлен</w:t>
      </w:r>
      <w:r>
        <w:rPr>
          <w:szCs w:val="28"/>
        </w:rPr>
        <w:t xml:space="preserve">и</w:t>
      </w:r>
      <w:r>
        <w:rPr>
          <w:szCs w:val="28"/>
        </w:rPr>
        <w:t xml:space="preserve">ю</w:t>
      </w:r>
      <w:r>
        <w:rPr>
          <w:szCs w:val="28"/>
        </w:rPr>
        <w:t xml:space="preserve"> адми</w:t>
      </w:r>
      <w:r>
        <w:rPr>
          <w:szCs w:val="28"/>
        </w:rPr>
        <w:t xml:space="preserve">нистрации Ужурского района от 21</w:t>
      </w:r>
      <w:r>
        <w:rPr>
          <w:szCs w:val="28"/>
        </w:rPr>
        <w:t xml:space="preserve">.0</w:t>
      </w:r>
      <w:r>
        <w:rPr>
          <w:szCs w:val="28"/>
        </w:rPr>
        <w:t xml:space="preserve">1</w:t>
      </w:r>
      <w:r>
        <w:rPr>
          <w:szCs w:val="28"/>
        </w:rPr>
        <w:t xml:space="preserve">.20</w:t>
      </w:r>
      <w:r>
        <w:rPr>
          <w:szCs w:val="28"/>
        </w:rPr>
        <w:t xml:space="preserve">22</w:t>
      </w:r>
      <w:r>
        <w:rPr>
          <w:szCs w:val="28"/>
        </w:rPr>
        <w:t xml:space="preserve"> № </w:t>
      </w:r>
      <w:r>
        <w:rPr>
          <w:szCs w:val="28"/>
        </w:rPr>
        <w:t xml:space="preserve">63</w:t>
      </w:r>
      <w:r>
        <w:rPr>
          <w:szCs w:val="28"/>
        </w:rPr>
        <w:t xml:space="preserve"> «Об утверждении Положения об оплате труда работников муниципального казенного учреждения «Управление культуры, спорта и молодеж</w:t>
      </w:r>
      <w:r>
        <w:rPr>
          <w:szCs w:val="28"/>
        </w:rPr>
        <w:t xml:space="preserve">ной политики Ужурского района»</w:t>
      </w:r>
      <w:r>
        <w:rPr>
          <w:szCs w:val="28"/>
        </w:rPr>
        <w:t xml:space="preserve"> следующие</w:t>
      </w:r>
      <w:r>
        <w:rPr>
          <w:szCs w:val="28"/>
        </w:rPr>
        <w:t xml:space="preserve"> </w:t>
      </w:r>
      <w:r>
        <w:rPr>
          <w:szCs w:val="28"/>
        </w:rPr>
        <w:t xml:space="preserve">изменения:</w:t>
      </w:r>
      <w:r/>
    </w:p>
    <w:p>
      <w:pPr>
        <w:pStyle w:val="617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Пункт 2.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и 2.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«Оклады (должностные оклады), ставки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«</w:t>
      </w:r>
      <w:r>
        <w:rPr>
          <w:szCs w:val="28"/>
        </w:rPr>
        <w:t xml:space="preserve">2.</w:t>
      </w:r>
      <w:r>
        <w:rPr>
          <w:szCs w:val="28"/>
        </w:rPr>
        <w:t xml:space="preserve">3</w:t>
      </w:r>
      <w:r>
        <w:rPr>
          <w:szCs w:val="28"/>
        </w:rPr>
        <w:t xml:space="preserve">. </w:t>
      </w:r>
      <w:r>
        <w:rPr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10" w:tooltip="consultantplus://offline/main?base=LAW;n=84164;fld=134" w:history="1">
        <w:r>
          <w:rPr>
            <w:rStyle w:val="620"/>
            <w:szCs w:val="28"/>
          </w:rPr>
          <w:t xml:space="preserve">Приказом</w:t>
        </w:r>
      </w:hyperlink>
      <w:r>
        <w:rPr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  <w:r/>
    </w:p>
    <w:tbl>
      <w:tblPr>
        <w:tblW w:w="949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9"/>
        <w:gridCol w:w="3964"/>
        <w:gridCol w:w="2413"/>
      </w:tblGrid>
      <w:tr>
        <w:trPr/>
        <w:tc>
          <w:tcPr>
            <w:gridSpan w:val="3"/>
            <w:tcW w:w="9496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Профессиональная квалификационная группа</w:t>
            </w:r>
            <w:r/>
          </w:p>
          <w:p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«Общеотраслевые должности служащих третьего уровня»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Квалификационные уровни</w:t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Должности, отнесенные к квалификационным уровням</w:t>
            </w:r>
            <w:r/>
          </w:p>
        </w:tc>
        <w:tc>
          <w:tcPr>
            <w:tcW w:w="2413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Должностной оклад (рублей)</w:t>
            </w:r>
            <w:r/>
          </w:p>
        </w:tc>
      </w:tr>
      <w:tr>
        <w:trPr/>
        <w:tc>
          <w:tcPr>
            <w:tcW w:w="3119" w:type="dxa"/>
            <w:vMerge w:val="restart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квалификационный уровень</w:t>
            </w:r>
            <w:r/>
          </w:p>
        </w:tc>
        <w:tc>
          <w:tcPr>
            <w:tcW w:w="3964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Ведущий экономист</w:t>
            </w:r>
            <w:r/>
          </w:p>
        </w:tc>
        <w:tc>
          <w:tcPr>
            <w:tcW w:w="2413" w:type="dxa"/>
            <w:vAlign w:val="center"/>
            <w:textDirection w:val="lrTb"/>
            <w:noWrap w:val="false"/>
          </w:tcPr>
          <w:p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7 167</w:t>
            </w:r>
            <w:r/>
          </w:p>
        </w:tc>
      </w:tr>
      <w:tr>
        <w:trPr>
          <w:trHeight w:val="234"/>
        </w:trPr>
        <w:tc>
          <w:tcPr>
            <w:tcW w:w="3119" w:type="dxa"/>
            <w:vMerge w:val="continue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W w:w="3964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Ведущий юрисконсульт</w:t>
            </w:r>
            <w:r/>
          </w:p>
        </w:tc>
        <w:tc>
          <w:tcPr>
            <w:tcW w:w="2413" w:type="dxa"/>
            <w:vAlign w:val="center"/>
            <w:textDirection w:val="lrTb"/>
            <w:noWrap w:val="false"/>
          </w:tcPr>
          <w:p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7 167</w:t>
            </w:r>
            <w:r/>
          </w:p>
        </w:tc>
      </w:tr>
      <w:tr>
        <w:trPr/>
        <w:tc>
          <w:tcPr>
            <w:gridSpan w:val="3"/>
            <w:tcW w:w="9496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Профессиональная квалификационная группа</w:t>
            </w:r>
            <w:r>
              <w:rPr>
                <w:szCs w:val="28"/>
              </w:rPr>
              <w:t xml:space="preserve"> </w:t>
            </w:r>
            <w:r/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«Общеотраслевые должности служащих </w:t>
            </w:r>
            <w:r>
              <w:rPr>
                <w:szCs w:val="28"/>
              </w:rPr>
              <w:t xml:space="preserve">четвертого</w:t>
            </w:r>
            <w:r>
              <w:rPr>
                <w:szCs w:val="28"/>
              </w:rPr>
              <w:t xml:space="preserve"> уровня»</w:t>
            </w:r>
            <w:r/>
          </w:p>
        </w:tc>
      </w:tr>
      <w:tr>
        <w:trPr>
          <w:trHeight w:val="167"/>
        </w:trPr>
        <w:tc>
          <w:tcPr>
            <w:tcW w:w="3119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квалификационный уровень</w:t>
            </w:r>
            <w:r/>
          </w:p>
        </w:tc>
        <w:tc>
          <w:tcPr>
            <w:tcW w:w="3964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>
              <w:rPr>
                <w:szCs w:val="28"/>
              </w:rPr>
              <w:t xml:space="preserve">специалист</w:t>
            </w:r>
            <w:r/>
          </w:p>
        </w:tc>
        <w:tc>
          <w:tcPr>
            <w:tcW w:w="2413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10 418</w:t>
            </w:r>
            <w:r/>
          </w:p>
        </w:tc>
      </w:tr>
    </w:tbl>
    <w:p>
      <w:pPr>
        <w:ind w:firstLine="709"/>
        <w:jc w:val="both"/>
        <w:rPr>
          <w:szCs w:val="28"/>
        </w:rPr>
      </w:pPr>
      <w:r>
        <w:rPr>
          <w:szCs w:val="28"/>
        </w:rPr>
        <w:t xml:space="preserve"> 2.</w:t>
      </w:r>
      <w:r>
        <w:rPr>
          <w:szCs w:val="28"/>
        </w:rPr>
        <w:t xml:space="preserve">4</w:t>
      </w:r>
      <w:r>
        <w:rPr>
          <w:szCs w:val="28"/>
        </w:rPr>
        <w:t xml:space="preserve">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11" w:tooltip="consultantplus://offline/main?base=LAW;n=79570;fld=134" w:history="1">
        <w:r>
          <w:rPr>
            <w:rStyle w:val="620"/>
            <w:szCs w:val="28"/>
          </w:rPr>
          <w:t xml:space="preserve">Приказом</w:t>
        </w:r>
      </w:hyperlink>
      <w:r>
        <w:rPr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  <w:r/>
    </w:p>
    <w:tbl>
      <w:tblPr>
        <w:tblW w:w="949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19"/>
        <w:gridCol w:w="3964"/>
        <w:gridCol w:w="2413"/>
      </w:tblGrid>
      <w:tr>
        <w:trPr/>
        <w:tc>
          <w:tcPr>
            <w:gridSpan w:val="3"/>
            <w:tcW w:w="9496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Профессиональная квалификационная группа</w:t>
            </w:r>
            <w:r/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«Общеотраслевые профессии рабочих второго уровня»</w:t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Квалификационные уровни</w:t>
            </w:r>
            <w:r/>
          </w:p>
        </w:tc>
        <w:tc>
          <w:tcPr>
            <w:tcW w:w="3964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Должности, отнесенные к квалификационным уровням</w:t>
            </w:r>
            <w:r/>
          </w:p>
        </w:tc>
        <w:tc>
          <w:tcPr>
            <w:tcW w:w="2413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Должностной оклад (рублей)</w:t>
            </w:r>
            <w:r/>
          </w:p>
        </w:tc>
      </w:tr>
      <w:tr>
        <w:trPr>
          <w:trHeight w:val="167"/>
        </w:trPr>
        <w:tc>
          <w:tcPr>
            <w:tcW w:w="3119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квалификационный уровень</w:t>
            </w:r>
            <w:r/>
          </w:p>
        </w:tc>
        <w:tc>
          <w:tcPr>
            <w:tcW w:w="3964" w:type="dxa"/>
            <w:vAlign w:val="center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Водитель автомобиля</w:t>
            </w:r>
            <w:r/>
          </w:p>
        </w:tc>
        <w:tc>
          <w:tcPr>
            <w:tcW w:w="2413" w:type="dxa"/>
            <w:vAlign w:val="center"/>
            <w:textDirection w:val="lrTb"/>
            <w:noWrap w:val="false"/>
          </w:tcPr>
          <w:p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6 542</w:t>
            </w:r>
            <w:r/>
          </w:p>
        </w:tc>
      </w:tr>
    </w:tbl>
    <w:p>
      <w:pPr>
        <w:ind w:firstLine="709"/>
        <w:jc w:val="both"/>
        <w:outlineLvl w:val="1"/>
      </w:pPr>
      <w:r>
        <w:rPr>
          <w:szCs w:val="28"/>
        </w:rPr>
        <w:t xml:space="preserve">2.2</w:t>
      </w:r>
      <w:r>
        <w:rPr>
          <w:szCs w:val="28"/>
        </w:rPr>
        <w:t xml:space="preserve">. </w:t>
      </w:r>
      <w:r>
        <w:rPr>
          <w:szCs w:val="28"/>
        </w:rPr>
        <w:t xml:space="preserve">Р</w:t>
      </w:r>
      <w:r>
        <w:rPr>
          <w:szCs w:val="28"/>
        </w:rPr>
        <w:t xml:space="preserve">аздел </w:t>
      </w:r>
      <w:r>
        <w:rPr>
          <w:szCs w:val="28"/>
        </w:rPr>
        <w:t xml:space="preserve">IV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t xml:space="preserve">Виды, размеры и условия осуществления выплат стимулирующего характера</w:t>
      </w:r>
      <w:r>
        <w:t xml:space="preserve">» пункт 4.4. дополнить подпунктом 6:</w:t>
      </w:r>
      <w:r/>
    </w:p>
    <w:p>
      <w:pPr>
        <w:ind w:firstLine="709"/>
        <w:jc w:val="both"/>
        <w:rPr>
          <w:szCs w:val="28"/>
        </w:rPr>
        <w:outlineLvl w:val="1"/>
      </w:pPr>
      <w:r>
        <w:t xml:space="preserve">«6) </w:t>
      </w:r>
      <w:r>
        <w:rPr>
          <w:szCs w:val="28"/>
        </w:rPr>
        <w:t xml:space="preserve">за о</w:t>
      </w:r>
      <w:r>
        <w:rPr>
          <w:szCs w:val="28"/>
        </w:rPr>
        <w:t xml:space="preserve">пыт работы работникам учреждений при наличии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r/>
    </w:p>
    <w:p>
      <w:pPr>
        <w:ind w:firstLine="709"/>
        <w:jc w:val="both"/>
        <w:rPr>
          <w:szCs w:val="28"/>
        </w:rPr>
        <w:outlineLvl w:val="1"/>
      </w:pPr>
      <w:r>
        <w:rPr>
          <w:szCs w:val="28"/>
        </w:rPr>
        <w:t xml:space="preserve">до 10% - при наличии ведомственного нагрудного знака (значка);</w:t>
      </w:r>
      <w:r/>
    </w:p>
    <w:p>
      <w:pPr>
        <w:ind w:firstLine="709"/>
        <w:jc w:val="both"/>
        <w:rPr>
          <w:szCs w:val="28"/>
        </w:rPr>
        <w:outlineLvl w:val="1"/>
      </w:pPr>
      <w:r>
        <w:rPr>
          <w:szCs w:val="28"/>
        </w:rPr>
        <w:t xml:space="preserve">до 25% - при наличии </w:t>
      </w:r>
      <w:r>
        <w:rPr>
          <w:szCs w:val="28"/>
        </w:rPr>
        <w:t xml:space="preserve">почетного звания «заслуженный»</w:t>
      </w:r>
      <w:r>
        <w:rPr>
          <w:szCs w:val="28"/>
        </w:rPr>
        <w:t xml:space="preserve">.»</w:t>
      </w:r>
      <w:r>
        <w:rPr>
          <w:szCs w:val="28"/>
        </w:rPr>
        <w:t xml:space="preserve">.</w:t>
      </w:r>
      <w:r/>
    </w:p>
    <w:p>
      <w:pPr>
        <w:ind w:firstLine="709"/>
        <w:jc w:val="both"/>
        <w:rPr>
          <w:szCs w:val="28"/>
        </w:rPr>
        <w:outlineLvl w:val="1"/>
      </w:pPr>
      <w:r>
        <w:rPr>
          <w:szCs w:val="28"/>
        </w:rPr>
        <w:t xml:space="preserve">2.3. Раздел VI «Условия оплаты труда руководителя учреждения» подпункт 2 пункта 6.7. дополнить:</w:t>
      </w:r>
      <w:r/>
    </w:p>
    <w:p>
      <w:pPr>
        <w:ind w:firstLine="709"/>
        <w:jc w:val="both"/>
        <w:rPr>
          <w:szCs w:val="28"/>
        </w:rPr>
        <w:outlineLvl w:val="1"/>
      </w:pPr>
      <w:r>
        <w:rPr>
          <w:szCs w:val="28"/>
        </w:rPr>
        <w:t xml:space="preserve">«</w:t>
      </w:r>
      <w:bookmarkStart w:id="0" w:name="_GoBack"/>
      <w:r>
        <w:rPr>
          <w:szCs w:val="28"/>
        </w:rPr>
        <w:t xml:space="preserve">в) </w:t>
      </w:r>
      <w:r>
        <w:rPr>
          <w:szCs w:val="28"/>
        </w:rPr>
        <w:t xml:space="preserve">за о</w:t>
      </w:r>
      <w:r>
        <w:rPr>
          <w:szCs w:val="28"/>
        </w:rPr>
        <w:t xml:space="preserve">пыт работы работникам учреждений при наличии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r/>
    </w:p>
    <w:p>
      <w:pPr>
        <w:ind w:firstLine="709"/>
        <w:jc w:val="both"/>
        <w:rPr>
          <w:szCs w:val="28"/>
        </w:rPr>
        <w:outlineLvl w:val="1"/>
      </w:pPr>
      <w:r>
        <w:rPr>
          <w:szCs w:val="28"/>
        </w:rPr>
        <w:t xml:space="preserve">до 10% - при наличии ведомственного нагрудного знака (значка);</w:t>
      </w:r>
      <w:r/>
    </w:p>
    <w:p>
      <w:pPr>
        <w:ind w:firstLine="709"/>
        <w:jc w:val="both"/>
        <w:rPr>
          <w:szCs w:val="28"/>
        </w:rPr>
        <w:outlineLvl w:val="1"/>
      </w:pPr>
      <w:r>
        <w:rPr>
          <w:szCs w:val="28"/>
        </w:rPr>
        <w:t xml:space="preserve">до 25% - при наличии </w:t>
      </w:r>
      <w:r>
        <w:rPr>
          <w:szCs w:val="28"/>
        </w:rPr>
        <w:t xml:space="preserve">почетного звания «заслуженный»</w:t>
      </w:r>
      <w:r>
        <w:rPr>
          <w:szCs w:val="28"/>
        </w:rPr>
        <w:t xml:space="preserve">.</w:t>
      </w:r>
      <w:bookmarkEnd w:id="0"/>
      <w:r>
        <w:rPr>
          <w:szCs w:val="28"/>
        </w:rPr>
        <w:t xml:space="preserve">»</w:t>
      </w:r>
      <w:r>
        <w:rPr>
          <w:szCs w:val="28"/>
        </w:rPr>
        <w:t xml:space="preserve">.</w:t>
      </w:r>
      <w:r/>
    </w:p>
    <w:p>
      <w:pPr>
        <w:pStyle w:val="617"/>
        <w:contextualSpacing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специальном выпуске </w:t>
      </w:r>
      <w:r>
        <w:rPr>
          <w:rFonts w:ascii="Times New Roman" w:hAnsi="Times New Roman" w:cs="Times New Roman"/>
          <w:sz w:val="28"/>
          <w:szCs w:val="28"/>
        </w:rPr>
        <w:t xml:space="preserve">газеты «Сибирский хлебороб».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  <w:t xml:space="preserve">Г</w:t>
      </w:r>
      <w:r>
        <w:rPr>
          <w:szCs w:val="28"/>
        </w:rPr>
        <w:t xml:space="preserve">ла</w:t>
      </w:r>
      <w:r>
        <w:rPr>
          <w:szCs w:val="28"/>
        </w:rPr>
        <w:t xml:space="preserve">в</w:t>
      </w:r>
      <w:r>
        <w:rPr>
          <w:szCs w:val="28"/>
        </w:rPr>
        <w:t xml:space="preserve">а</w:t>
      </w:r>
      <w:r>
        <w:rPr>
          <w:szCs w:val="28"/>
        </w:rPr>
        <w:t xml:space="preserve"> </w:t>
      </w:r>
      <w:r>
        <w:rPr>
          <w:szCs w:val="28"/>
        </w:rPr>
        <w:t xml:space="preserve"> района     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                        </w:t>
      </w:r>
      <w:r>
        <w:rPr>
          <w:szCs w:val="28"/>
        </w:rPr>
        <w:t xml:space="preserve">           </w:t>
      </w:r>
      <w:r>
        <w:rPr>
          <w:szCs w:val="28"/>
        </w:rPr>
        <w:t xml:space="preserve">            </w:t>
      </w:r>
      <w:r>
        <w:rPr>
          <w:szCs w:val="28"/>
        </w:rPr>
        <w:t xml:space="preserve">К.Н. Зарецкий</w:t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p>
      <w:pPr>
        <w:jc w:val="left"/>
        <w:rPr>
          <w:szCs w:val="28"/>
        </w:rPr>
      </w:pPr>
      <w:r>
        <w:rPr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67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01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899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3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366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64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798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17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3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3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hint="default"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7"/>
    <w:link w:val="60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7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7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7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7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7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7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06">
    <w:name w:val="Heading 1"/>
    <w:basedOn w:val="605"/>
    <w:next w:val="605"/>
    <w:link w:val="610"/>
    <w:qFormat/>
    <w:pPr>
      <w:jc w:val="center"/>
      <w:keepNext/>
      <w:outlineLvl w:val="0"/>
    </w:pPr>
    <w:rPr>
      <w:b/>
      <w:sz w:val="48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character" w:styleId="610" w:customStyle="1">
    <w:name w:val="Заголовок 1 Знак"/>
    <w:basedOn w:val="607"/>
    <w:link w:val="606"/>
    <w:rPr>
      <w:rFonts w:ascii="Times New Roman" w:hAnsi="Times New Roman" w:eastAsia="Times New Roman" w:cs="Times New Roman"/>
      <w:b/>
      <w:sz w:val="48"/>
      <w:szCs w:val="20"/>
      <w:lang w:eastAsia="ru-RU"/>
    </w:rPr>
  </w:style>
  <w:style w:type="paragraph" w:styleId="611" w:customStyle="1">
    <w:name w:val="Абзац списка1"/>
    <w:basedOn w:val="605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paragraph" w:styleId="612">
    <w:name w:val="List Paragraph"/>
    <w:basedOn w:val="605"/>
    <w:uiPriority w:val="34"/>
    <w:qFormat/>
    <w:pPr>
      <w:ind w:left="708"/>
      <w:jc w:val="center"/>
    </w:pPr>
    <w:rPr>
      <w:sz w:val="24"/>
      <w:szCs w:val="24"/>
    </w:rPr>
  </w:style>
  <w:style w:type="paragraph" w:styleId="613">
    <w:name w:val="Balloon Text"/>
    <w:basedOn w:val="605"/>
    <w:link w:val="614"/>
    <w:uiPriority w:val="99"/>
    <w:semiHidden/>
    <w:unhideWhenUsed/>
    <w:rPr>
      <w:rFonts w:ascii="Tahoma" w:hAnsi="Tahoma" w:cs="Tahoma"/>
      <w:sz w:val="16"/>
      <w:szCs w:val="16"/>
    </w:rPr>
  </w:style>
  <w:style w:type="character" w:styleId="614" w:customStyle="1">
    <w:name w:val="Текст выноски Знак"/>
    <w:basedOn w:val="607"/>
    <w:link w:val="61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15" w:customStyle="1">
    <w:name w:val="Основной текст_"/>
    <w:link w:val="616"/>
    <w:uiPriority w:val="99"/>
    <w:rPr>
      <w:spacing w:val="3"/>
      <w:sz w:val="25"/>
      <w:szCs w:val="25"/>
      <w:shd w:val="clear" w:color="auto" w:fill="ffffff"/>
    </w:rPr>
  </w:style>
  <w:style w:type="paragraph" w:styleId="616" w:customStyle="1">
    <w:name w:val="Основной текст1"/>
    <w:basedOn w:val="605"/>
    <w:link w:val="615"/>
    <w:uiPriority w:val="99"/>
    <w:pPr>
      <w:spacing w:line="0" w:lineRule="atLeast"/>
      <w:shd w:val="clear" w:color="auto" w:fill="ffffff"/>
      <w:widowControl w:val="off"/>
    </w:pPr>
    <w:rPr>
      <w:rFonts w:asciiTheme="minorHAnsi" w:hAnsiTheme="minorHAnsi" w:eastAsiaTheme="minorHAnsi" w:cstheme="minorBidi"/>
      <w:spacing w:val="3"/>
      <w:sz w:val="25"/>
      <w:szCs w:val="25"/>
      <w:lang w:eastAsia="en-US"/>
    </w:rPr>
  </w:style>
  <w:style w:type="paragraph" w:styleId="617" w:customStyle="1">
    <w:name w:val="ConsPlusNormal"/>
    <w:link w:val="618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18" w:customStyle="1">
    <w:name w:val="ConsPlusNormal Знак"/>
    <w:link w:val="617"/>
    <w:rPr>
      <w:rFonts w:ascii="Arial" w:hAnsi="Arial" w:eastAsia="Times New Roman" w:cs="Arial"/>
      <w:sz w:val="20"/>
      <w:szCs w:val="20"/>
      <w:lang w:eastAsia="ru-RU"/>
    </w:rPr>
  </w:style>
  <w:style w:type="paragraph" w:styleId="619">
    <w:name w:val="Normal (Web)"/>
    <w:basedOn w:val="605"/>
    <w:pPr>
      <w:spacing w:after="200" w:line="276" w:lineRule="auto"/>
    </w:pPr>
    <w:rPr>
      <w:sz w:val="24"/>
      <w:szCs w:val="24"/>
    </w:rPr>
  </w:style>
  <w:style w:type="character" w:styleId="620">
    <w:name w:val="Hyperlink"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consultantplus://offline/main?base=LAW;n=84164;fld=134" TargetMode="External"/><Relationship Id="rId11" Type="http://schemas.openxmlformats.org/officeDocument/2006/relationships/hyperlink" Target="consultantplus://offline/main?base=LAW;n=79570;f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77</cp:revision>
  <dcterms:created xsi:type="dcterms:W3CDTF">2016-12-23T04:31:00Z</dcterms:created>
  <dcterms:modified xsi:type="dcterms:W3CDTF">2023-06-05T06:48:26Z</dcterms:modified>
</cp:coreProperties>
</file>